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C71466" w:rsidRDefault="00E172C6" w:rsidP="002D2A39">
      <w:pPr>
        <w:spacing w:line="480" w:lineRule="auto"/>
        <w:jc w:val="center"/>
      </w:pPr>
      <w:r>
        <w:t>International Marketing: China</w:t>
      </w:r>
    </w:p>
    <w:p w:rsidR="002D2A39" w:rsidRDefault="002D2A39" w:rsidP="002D2A39">
      <w:pPr>
        <w:spacing w:line="480" w:lineRule="auto"/>
        <w:jc w:val="center"/>
      </w:pPr>
      <w:r>
        <w:t>Name</w:t>
      </w:r>
    </w:p>
    <w:p w:rsidR="002D2A39" w:rsidRDefault="002D2A39" w:rsidP="002D2A39">
      <w:pPr>
        <w:spacing w:line="480" w:lineRule="auto"/>
        <w:jc w:val="center"/>
      </w:pPr>
      <w:r>
        <w:t>Institution</w:t>
      </w:r>
    </w:p>
    <w:p w:rsidR="002D2A39" w:rsidRDefault="002D2A39" w:rsidP="002D2A39">
      <w:pPr>
        <w:spacing w:line="480" w:lineRule="auto"/>
        <w:jc w:val="center"/>
      </w:pPr>
      <w:r>
        <w:t>Date</w:t>
      </w: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2D2A39" w:rsidRDefault="002D2A39" w:rsidP="002D2A39">
      <w:pPr>
        <w:spacing w:line="480" w:lineRule="auto"/>
        <w:jc w:val="center"/>
      </w:pPr>
      <w:r>
        <w:lastRenderedPageBreak/>
        <w:t>International Marketing: China</w:t>
      </w:r>
    </w:p>
    <w:p w:rsidR="00E172C6" w:rsidRPr="002D2A39" w:rsidRDefault="001B3F73" w:rsidP="002D2A39">
      <w:pPr>
        <w:spacing w:line="480" w:lineRule="auto"/>
        <w:jc w:val="center"/>
        <w:rPr>
          <w:b/>
        </w:rPr>
      </w:pPr>
      <w:r w:rsidRPr="002D2A39">
        <w:rPr>
          <w:b/>
        </w:rPr>
        <w:t>Consumer Profile</w:t>
      </w:r>
    </w:p>
    <w:p w:rsidR="00937309" w:rsidRDefault="00937309" w:rsidP="00937309">
      <w:pPr>
        <w:spacing w:line="480" w:lineRule="auto"/>
        <w:ind w:firstLine="720"/>
      </w:pPr>
      <w:r>
        <w:t xml:space="preserve">The IBP country of focus is China, which is the second largest consumer market in the world, behind the United States. The Consumer profile is made up of three groups: low-income class, middle class, and affluent households.  The low-income class or the ‘value' class consists of the vast majority and have disposable annual incomes ranging between $6000 and $16000, enough for covering basic needs only. The middle class, also known as mainstream consumers have annual disposable incomes ranging between $16000 and $34,000 (Atsmon, 2018). The last class is the affluent households whose members earn over $34000 annually and consist of about 2% of the China urban population, which accounts for approximately 4.36 million households. In general, the China population is about 1.4 billion, with urban population accounting for 58% and rural population accounting for 42%. </w:t>
      </w:r>
    </w:p>
    <w:p w:rsidR="00937309" w:rsidRDefault="00937309" w:rsidP="00937309">
      <w:pPr>
        <w:spacing w:line="480" w:lineRule="auto"/>
        <w:ind w:firstLine="720"/>
      </w:pPr>
      <w:r>
        <w:t xml:space="preserve">China has more males than females who account for 51.7% and 48.5% consecutively. Consumers are segmented in five age groups: under 5 years accounting for 6.5% of the population; age 6-14 accounting for 13.4% of the population; age 16-24 accounts for 16.9% of population; age 25-69 accounts for 57.9% of the population; over 70 years accounts for 6.7% of population (Atsmon, 2018). China is classified among the countries with the highest literacy levels, which accounts for 96.4% (Atsmon, 2018). Finally, China had GDP per capita of $9.776.375 in the fiscal year of 2018 (Chung, 2019). A household product priced at less than $5 has a very large market in China, provided it is a basic product. This is because of the low-income class; potential customers of low priced products prefer austerity over extravagance because of their less disposable incomes. Therefore, the consumer profile shows that </w:t>
      </w:r>
      <w:r>
        <w:lastRenderedPageBreak/>
        <w:t>international businesses should target affluent households and mainstream consumers since they have high disposable income.</w:t>
      </w:r>
    </w:p>
    <w:p w:rsidR="00937309" w:rsidRPr="00937309" w:rsidRDefault="00937309" w:rsidP="00937309">
      <w:pPr>
        <w:spacing w:line="480" w:lineRule="auto"/>
        <w:ind w:firstLine="720"/>
        <w:jc w:val="center"/>
        <w:rPr>
          <w:b/>
        </w:rPr>
      </w:pPr>
      <w:r w:rsidRPr="00937309">
        <w:rPr>
          <w:b/>
        </w:rPr>
        <w:t>Trade Show Opportunities</w:t>
      </w:r>
    </w:p>
    <w:p w:rsidR="00937309" w:rsidRDefault="00937309" w:rsidP="00937309">
      <w:pPr>
        <w:spacing w:line="480" w:lineRule="auto"/>
        <w:ind w:firstLine="720"/>
      </w:pPr>
      <w:r>
        <w:t xml:space="preserve">  Trade exhibitions are integral platforms for global companies to meet potential customers and partners. Also, trade shows tend to assess possible opportunities and market trends. China is steadily shifting its economy from an investment-driven growth structure to a more consumption-led module (Chung, 2019). This paradigm shift cements the importance of trade fairs, which can educate corporations on opportunities possible in different factors. An example of a trade show in Canada is The National Women's day, a beauty show, listed on date 10, November 2019 at Quebec City, Quebec, Canada (TradeFairDates, 2019). </w:t>
      </w:r>
    </w:p>
    <w:p w:rsidR="00937309" w:rsidRPr="00937309" w:rsidRDefault="00937309" w:rsidP="00937309">
      <w:pPr>
        <w:spacing w:line="480" w:lineRule="auto"/>
        <w:ind w:firstLine="720"/>
        <w:jc w:val="center"/>
        <w:rPr>
          <w:b/>
        </w:rPr>
      </w:pPr>
      <w:r w:rsidRPr="00937309">
        <w:rPr>
          <w:b/>
        </w:rPr>
        <w:t>Media Sources</w:t>
      </w:r>
    </w:p>
    <w:p w:rsidR="00937309" w:rsidRDefault="00937309" w:rsidP="00937309">
      <w:pPr>
        <w:spacing w:line="480" w:lineRule="auto"/>
        <w:ind w:firstLine="720"/>
      </w:pPr>
      <w:r>
        <w:t xml:space="preserve">The following are different media sources used in advertisement. The first media source is Television. According to the available data, about 95% of China people watch television, lending television an integral medium for advertisement. In 2017, TV advertisements accounted for about 31.4% of the total spending on advertisement (Atsmon, 2018). Some of the main televisions used for advertisements are central television of China, Anhui TV, Beijing TV, and Shanghai Media Group. The second media is press. Magazines and newspapers serve as major advertising platforms in the nation. They have been the leading sources in the last decade until 2017 when internet advertisements recorded high revenues than newspapers. The third media source is the web. At the end of the 2016 fiscal year, China recorded 731 million web users, slightly above half of the entire population. In 2017, the total revenues garnered from internet advertising accounted for 57% (Chung, 2019). Online and mobile phone advertisements are </w:t>
      </w:r>
      <w:r>
        <w:lastRenderedPageBreak/>
        <w:t xml:space="preserve">increasing swiftly. The leading web sources are focus media, Web2Asia China Marketing, and Nurun.  </w:t>
      </w:r>
    </w:p>
    <w:p w:rsidR="00937309" w:rsidRPr="00937309" w:rsidRDefault="00937309" w:rsidP="00937309">
      <w:pPr>
        <w:spacing w:line="480" w:lineRule="auto"/>
        <w:ind w:firstLine="720"/>
        <w:jc w:val="center"/>
        <w:rPr>
          <w:b/>
        </w:rPr>
      </w:pPr>
      <w:r w:rsidRPr="00937309">
        <w:rPr>
          <w:b/>
        </w:rPr>
        <w:t>Retailer Options</w:t>
      </w:r>
    </w:p>
    <w:p w:rsidR="00937309" w:rsidRDefault="00937309" w:rsidP="00937309">
      <w:pPr>
        <w:spacing w:line="480" w:lineRule="auto"/>
        <w:ind w:firstLine="720"/>
      </w:pPr>
      <w:r>
        <w:t>China retailer market is very crowded. However, two retailing outlets dominate the markets: Alibaba and Gaming Pioneer Tencent. Alibaba, online commerce, and Gaming pioneer Tencent, which work on social media, has established a formidable duopoly of record shares in the last few years. In 2017 alone, both outlets spent over $20 billion to shift shopping trends in China (Chung, 2019). The retails have hugely invested departmental stores, electronics retail, and supermarkets. Therefore, the two outlets serve as the most reliable options for distributing consumer products.</w:t>
      </w:r>
    </w:p>
    <w:p w:rsidR="00937309" w:rsidRPr="00937309" w:rsidRDefault="00937309" w:rsidP="00937309">
      <w:pPr>
        <w:spacing w:line="480" w:lineRule="auto"/>
        <w:ind w:firstLine="720"/>
        <w:jc w:val="center"/>
        <w:rPr>
          <w:b/>
        </w:rPr>
      </w:pPr>
      <w:r w:rsidRPr="00937309">
        <w:rPr>
          <w:b/>
        </w:rPr>
        <w:t>Advertising Legislation</w:t>
      </w:r>
    </w:p>
    <w:p w:rsidR="00937309" w:rsidRDefault="00937309" w:rsidP="00937309">
      <w:pPr>
        <w:spacing w:line="480" w:lineRule="auto"/>
        <w:ind w:firstLine="720"/>
      </w:pPr>
      <w:r>
        <w:t xml:space="preserve">Advertising in China is robustly regulated, and the government has the ultimate control of the advertising messages. The 2015 advertising law hints that "advertisements should be good for the physical and mental health of the people and should also conform to the professional code of ethics and safeguard the dignity and interests of the state" (Atsmon, 2018). Also, the advertising law prohibits the use of government images, national symbols, superstitious messages, obscene contents, or any content that can be detrimental to social stability. Also, China has strict regulations for tobacco. Similarly, Canada has robust strict regulations for advertisements. The law prohibits businesses to use misleading or false representations when promoting products or services. Advertisements aimed at children should conform to the "Broadcast Code for Canadian Code of Advertising Standards," except for Quebec province that has totally prohibited advertising to children (Baylis, 2011). </w:t>
      </w:r>
    </w:p>
    <w:p w:rsidR="00937309" w:rsidRPr="00937309" w:rsidRDefault="00937309" w:rsidP="00937309">
      <w:pPr>
        <w:spacing w:line="480" w:lineRule="auto"/>
        <w:ind w:firstLine="720"/>
        <w:jc w:val="center"/>
        <w:rPr>
          <w:b/>
        </w:rPr>
      </w:pPr>
      <w:r w:rsidRPr="00937309">
        <w:rPr>
          <w:b/>
        </w:rPr>
        <w:lastRenderedPageBreak/>
        <w:t>Pricing</w:t>
      </w:r>
    </w:p>
    <w:p w:rsidR="00937309" w:rsidRDefault="00937309" w:rsidP="00937309">
      <w:pPr>
        <w:spacing w:line="480" w:lineRule="auto"/>
        <w:ind w:firstLine="720"/>
      </w:pPr>
      <w:r>
        <w:t>China's large consumer base is made of the individuals between mid-20s and mid-30s (Chung, 2019). These age groups are very educated and tend to be quality and value conscious. Unlike the old population, these age groups tend to save less and spend most of their income on entertainment and apparels. Thus companies who want to expand in China should consider value-based pricing model (Chung, 2019). Examples of an industry applying value-based approach in China is medicines and beauty products industry</w:t>
      </w:r>
    </w:p>
    <w:p w:rsidR="00937309" w:rsidRPr="00937309" w:rsidRDefault="00937309" w:rsidP="00937309">
      <w:pPr>
        <w:spacing w:line="480" w:lineRule="auto"/>
        <w:ind w:firstLine="720"/>
        <w:jc w:val="center"/>
        <w:rPr>
          <w:b/>
        </w:rPr>
      </w:pPr>
      <w:r w:rsidRPr="00937309">
        <w:rPr>
          <w:b/>
        </w:rPr>
        <w:t>Labeling</w:t>
      </w:r>
    </w:p>
    <w:p w:rsidR="00735A1E" w:rsidRDefault="00937309" w:rsidP="00937309">
      <w:pPr>
        <w:spacing w:line="480" w:lineRule="auto"/>
        <w:ind w:firstLine="720"/>
      </w:pPr>
      <w:r>
        <w:t>China is very clear on the labeling regulations. The China 2015 Food Safety Law requires prepackaged food to be labeled and show information such as name, net content, specification, ingredients, producer contact information, storage requirements and production license number (Atsmon, 2018).</w:t>
      </w:r>
    </w:p>
    <w:p w:rsidR="00735A1E" w:rsidRDefault="00735A1E" w:rsidP="002D2A39">
      <w:pPr>
        <w:spacing w:line="480" w:lineRule="auto"/>
        <w:jc w:val="center"/>
      </w:pPr>
    </w:p>
    <w:p w:rsidR="00735A1E" w:rsidRDefault="00735A1E" w:rsidP="002D2A39">
      <w:pPr>
        <w:spacing w:line="480" w:lineRule="auto"/>
        <w:jc w:val="center"/>
      </w:pPr>
    </w:p>
    <w:p w:rsidR="00735A1E" w:rsidRDefault="00735A1E" w:rsidP="002D2A39">
      <w:pPr>
        <w:spacing w:line="480" w:lineRule="auto"/>
        <w:jc w:val="center"/>
      </w:pPr>
    </w:p>
    <w:p w:rsidR="00937309" w:rsidRDefault="00937309" w:rsidP="002D2A39">
      <w:pPr>
        <w:spacing w:line="480" w:lineRule="auto"/>
        <w:jc w:val="center"/>
      </w:pPr>
    </w:p>
    <w:p w:rsidR="00937309" w:rsidRDefault="00937309" w:rsidP="002D2A39">
      <w:pPr>
        <w:spacing w:line="480" w:lineRule="auto"/>
        <w:jc w:val="center"/>
      </w:pPr>
    </w:p>
    <w:p w:rsidR="00937309" w:rsidRDefault="00937309" w:rsidP="002D2A39">
      <w:pPr>
        <w:spacing w:line="480" w:lineRule="auto"/>
        <w:jc w:val="center"/>
      </w:pPr>
    </w:p>
    <w:p w:rsidR="00937309" w:rsidRDefault="00937309" w:rsidP="002D2A39">
      <w:pPr>
        <w:spacing w:line="480" w:lineRule="auto"/>
        <w:jc w:val="center"/>
      </w:pPr>
    </w:p>
    <w:p w:rsidR="00937309" w:rsidRDefault="00937309" w:rsidP="002D2A39">
      <w:pPr>
        <w:spacing w:line="480" w:lineRule="auto"/>
        <w:jc w:val="center"/>
      </w:pPr>
    </w:p>
    <w:p w:rsidR="00E87569" w:rsidRDefault="00E87569" w:rsidP="002D2A39">
      <w:pPr>
        <w:spacing w:line="480" w:lineRule="auto"/>
        <w:jc w:val="center"/>
      </w:pPr>
      <w:r>
        <w:lastRenderedPageBreak/>
        <w:t>References</w:t>
      </w:r>
    </w:p>
    <w:p w:rsidR="00E87569" w:rsidRDefault="006E51BE" w:rsidP="002D2A39">
      <w:pPr>
        <w:pStyle w:val="Bibliography"/>
        <w:spacing w:line="480" w:lineRule="auto"/>
        <w:ind w:left="720" w:hanging="720"/>
        <w:rPr>
          <w:noProof/>
        </w:rPr>
      </w:pPr>
      <w:r>
        <w:fldChar w:fldCharType="begin"/>
      </w:r>
      <w:r w:rsidR="00E87569">
        <w:instrText xml:space="preserve"> BIBLIOGRAPHY  \l 1033 </w:instrText>
      </w:r>
      <w:r>
        <w:fldChar w:fldCharType="separate"/>
      </w:r>
      <w:r w:rsidR="00E87569">
        <w:rPr>
          <w:noProof/>
        </w:rPr>
        <w:t xml:space="preserve">Atsmon, Y. (2018). Meet the 2020 Chinese Consumer. </w:t>
      </w:r>
      <w:r w:rsidR="00E87569">
        <w:rPr>
          <w:i/>
          <w:iCs/>
          <w:noProof/>
        </w:rPr>
        <w:t>McKinsey Consumer &amp; Shopper Insights</w:t>
      </w:r>
      <w:r w:rsidR="00E87569">
        <w:rPr>
          <w:noProof/>
        </w:rPr>
        <w:t>, 7-41.</w:t>
      </w:r>
    </w:p>
    <w:p w:rsidR="00E87569" w:rsidRDefault="00E87569" w:rsidP="002D2A39">
      <w:pPr>
        <w:pStyle w:val="Bibliography"/>
        <w:spacing w:line="480" w:lineRule="auto"/>
        <w:ind w:left="720" w:hanging="720"/>
        <w:rPr>
          <w:noProof/>
        </w:rPr>
      </w:pPr>
      <w:r>
        <w:rPr>
          <w:noProof/>
        </w:rPr>
        <w:t xml:space="preserve">Baylis, K. (2011). Fast-Food consumption and the ban on advertising targeting children: the Quebec experience. </w:t>
      </w:r>
      <w:r>
        <w:rPr>
          <w:i/>
          <w:iCs/>
          <w:noProof/>
        </w:rPr>
        <w:t>Journal of Marketing Research</w:t>
      </w:r>
      <w:r>
        <w:rPr>
          <w:noProof/>
        </w:rPr>
        <w:t>, 799-813.</w:t>
      </w:r>
    </w:p>
    <w:p w:rsidR="00E87569" w:rsidRDefault="00E87569" w:rsidP="002D2A39">
      <w:pPr>
        <w:pStyle w:val="Bibliography"/>
        <w:spacing w:line="480" w:lineRule="auto"/>
        <w:ind w:left="720" w:hanging="720"/>
        <w:rPr>
          <w:noProof/>
        </w:rPr>
      </w:pPr>
      <w:r>
        <w:rPr>
          <w:noProof/>
        </w:rPr>
        <w:t xml:space="preserve">Chung, X. (2019, June 24). </w:t>
      </w:r>
      <w:r>
        <w:rPr>
          <w:i/>
          <w:iCs/>
          <w:noProof/>
        </w:rPr>
        <w:t>China: Reaching the Consumer</w:t>
      </w:r>
      <w:r>
        <w:rPr>
          <w:noProof/>
        </w:rPr>
        <w:t>. Retrieved from Banco Santander: https://en.portal.santandertrade.cpm/analysis-markets/china/reaching-the-consumers</w:t>
      </w:r>
    </w:p>
    <w:p w:rsidR="00E87569" w:rsidRDefault="00E87569" w:rsidP="002D2A39">
      <w:pPr>
        <w:pStyle w:val="Bibliography"/>
        <w:spacing w:line="480" w:lineRule="auto"/>
        <w:ind w:left="720" w:hanging="720"/>
        <w:rPr>
          <w:noProof/>
        </w:rPr>
      </w:pPr>
      <w:r>
        <w:rPr>
          <w:noProof/>
        </w:rPr>
        <w:t xml:space="preserve">TradeFairDates. (2019, July 2). </w:t>
      </w:r>
      <w:r>
        <w:rPr>
          <w:i/>
          <w:iCs/>
          <w:noProof/>
        </w:rPr>
        <w:t>The National Women's Show</w:t>
      </w:r>
      <w:r>
        <w:rPr>
          <w:noProof/>
        </w:rPr>
        <w:t>. Retrieved from TradeFairDates: https://www.tradefairdates.com/The-National-Womens-Show-M7165/Quebec-City.html</w:t>
      </w:r>
    </w:p>
    <w:p w:rsidR="00E87569" w:rsidRPr="0074008E" w:rsidRDefault="006E51BE" w:rsidP="002D2A39">
      <w:pPr>
        <w:spacing w:line="480" w:lineRule="auto"/>
        <w:ind w:hanging="720"/>
      </w:pPr>
      <w:r>
        <w:fldChar w:fldCharType="end"/>
      </w:r>
    </w:p>
    <w:sectPr w:rsidR="00E87569" w:rsidRPr="0074008E" w:rsidSect="002D2A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B0C" w:rsidRDefault="00371B0C" w:rsidP="002D2A39">
      <w:pPr>
        <w:spacing w:after="0" w:line="240" w:lineRule="auto"/>
      </w:pPr>
      <w:r>
        <w:separator/>
      </w:r>
    </w:p>
  </w:endnote>
  <w:endnote w:type="continuationSeparator" w:id="1">
    <w:p w:rsidR="00371B0C" w:rsidRDefault="00371B0C" w:rsidP="002D2A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B0C" w:rsidRDefault="00371B0C" w:rsidP="002D2A39">
      <w:pPr>
        <w:spacing w:after="0" w:line="240" w:lineRule="auto"/>
      </w:pPr>
      <w:r>
        <w:separator/>
      </w:r>
    </w:p>
  </w:footnote>
  <w:footnote w:type="continuationSeparator" w:id="1">
    <w:p w:rsidR="00371B0C" w:rsidRDefault="00371B0C" w:rsidP="002D2A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39" w:rsidRDefault="002D2A39">
    <w:pPr>
      <w:pStyle w:val="Header"/>
      <w:jc w:val="right"/>
    </w:pPr>
    <w:r>
      <w:t xml:space="preserve">INTERNATIONAL MARKET: CHINA                                                                                        </w:t>
    </w:r>
    <w:sdt>
      <w:sdtPr>
        <w:id w:val="74973438"/>
        <w:docPartObj>
          <w:docPartGallery w:val="Page Numbers (Top of Page)"/>
          <w:docPartUnique/>
        </w:docPartObj>
      </w:sdtPr>
      <w:sdtContent>
        <w:fldSimple w:instr=" PAGE   \* MERGEFORMAT ">
          <w:r w:rsidR="00937309">
            <w:rPr>
              <w:noProof/>
            </w:rPr>
            <w:t>2</w:t>
          </w:r>
        </w:fldSimple>
      </w:sdtContent>
    </w:sdt>
  </w:p>
  <w:p w:rsidR="002D2A39" w:rsidRDefault="002D2A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39" w:rsidRDefault="002D2A39">
    <w:pPr>
      <w:pStyle w:val="Header"/>
      <w:jc w:val="right"/>
    </w:pPr>
    <w:r>
      <w:t xml:space="preserve">Running head: INTERNATIONAL MARKETING: CHINA                                                         </w:t>
    </w:r>
    <w:sdt>
      <w:sdtPr>
        <w:id w:val="74973327"/>
        <w:docPartObj>
          <w:docPartGallery w:val="Page Numbers (Top of Page)"/>
          <w:docPartUnique/>
        </w:docPartObj>
      </w:sdtPr>
      <w:sdtContent>
        <w:fldSimple w:instr=" PAGE   \* MERGEFORMAT ">
          <w:r w:rsidR="00937309">
            <w:rPr>
              <w:noProof/>
            </w:rPr>
            <w:t>1</w:t>
          </w:r>
        </w:fldSimple>
      </w:sdtContent>
    </w:sdt>
  </w:p>
  <w:p w:rsidR="002D2A39" w:rsidRDefault="002D2A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172C6"/>
    <w:rsid w:val="00053B88"/>
    <w:rsid w:val="000B02F4"/>
    <w:rsid w:val="000B1216"/>
    <w:rsid w:val="000E3325"/>
    <w:rsid w:val="001625E4"/>
    <w:rsid w:val="0019339D"/>
    <w:rsid w:val="001B3F73"/>
    <w:rsid w:val="00283529"/>
    <w:rsid w:val="00296340"/>
    <w:rsid w:val="002D2A39"/>
    <w:rsid w:val="0036275B"/>
    <w:rsid w:val="00371B0C"/>
    <w:rsid w:val="003F6A44"/>
    <w:rsid w:val="00425CEB"/>
    <w:rsid w:val="004F61ED"/>
    <w:rsid w:val="006741E4"/>
    <w:rsid w:val="00686161"/>
    <w:rsid w:val="006E51BE"/>
    <w:rsid w:val="00735A1E"/>
    <w:rsid w:val="007367DF"/>
    <w:rsid w:val="0074008E"/>
    <w:rsid w:val="00781CE7"/>
    <w:rsid w:val="00796F33"/>
    <w:rsid w:val="007B6E40"/>
    <w:rsid w:val="008332C8"/>
    <w:rsid w:val="00854316"/>
    <w:rsid w:val="0090193C"/>
    <w:rsid w:val="00937309"/>
    <w:rsid w:val="00947EA4"/>
    <w:rsid w:val="00A10479"/>
    <w:rsid w:val="00A44B3C"/>
    <w:rsid w:val="00C71466"/>
    <w:rsid w:val="00DB65A0"/>
    <w:rsid w:val="00E172C6"/>
    <w:rsid w:val="00E233A2"/>
    <w:rsid w:val="00E55021"/>
    <w:rsid w:val="00E67535"/>
    <w:rsid w:val="00E87569"/>
    <w:rsid w:val="00F04CF6"/>
    <w:rsid w:val="00FB3AAF"/>
    <w:rsid w:val="00FC77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7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74D"/>
    <w:rPr>
      <w:rFonts w:ascii="Tahoma" w:hAnsi="Tahoma" w:cs="Tahoma"/>
      <w:sz w:val="16"/>
      <w:szCs w:val="16"/>
    </w:rPr>
  </w:style>
  <w:style w:type="paragraph" w:styleId="Bibliography">
    <w:name w:val="Bibliography"/>
    <w:basedOn w:val="Normal"/>
    <w:next w:val="Normal"/>
    <w:uiPriority w:val="37"/>
    <w:unhideWhenUsed/>
    <w:rsid w:val="00E87569"/>
  </w:style>
  <w:style w:type="paragraph" w:styleId="Header">
    <w:name w:val="header"/>
    <w:basedOn w:val="Normal"/>
    <w:link w:val="HeaderChar"/>
    <w:uiPriority w:val="99"/>
    <w:unhideWhenUsed/>
    <w:rsid w:val="002D2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A39"/>
  </w:style>
  <w:style w:type="paragraph" w:styleId="Footer">
    <w:name w:val="footer"/>
    <w:basedOn w:val="Normal"/>
    <w:link w:val="FooterChar"/>
    <w:uiPriority w:val="99"/>
    <w:semiHidden/>
    <w:unhideWhenUsed/>
    <w:rsid w:val="002D2A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2A3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Ats12</b:Tag>
    <b:SourceType>JournalArticle</b:SourceType>
    <b:Guid>{BBE87DF8-3786-4EF7-A910-80D6C9A44064}</b:Guid>
    <b:LCID>0</b:LCID>
    <b:Author>
      <b:Author>
        <b:NameList>
          <b:Person>
            <b:Last>Atsmon</b:Last>
            <b:First>Y.</b:First>
          </b:Person>
        </b:NameList>
      </b:Author>
    </b:Author>
    <b:Title>Meet the 2020 Chinese Consumer</b:Title>
    <b:JournalName>McKinsey Consumer &amp; Shopper Insights</b:JournalName>
    <b:Year>2018</b:Year>
    <b:Pages>7-41</b:Pages>
    <b:RefOrder>1</b:RefOrder>
  </b:Source>
  <b:Source>
    <b:Tag>Chi19</b:Tag>
    <b:SourceType>InternetSite</b:SourceType>
    <b:Guid>{3E95648B-79F3-4A06-BA06-FE3DC9907440}</b:Guid>
    <b:LCID>0</b:LCID>
    <b:Title>China: Reaching the Consumer</b:Title>
    <b:Year>2019</b:Year>
    <b:InternetSiteTitle>Banco Santander</b:InternetSiteTitle>
    <b:Month>June</b:Month>
    <b:Day>24</b:Day>
    <b:URL>https://en.portal.santandertrade.cpm/analysis-markets/china/reaching-the-consumers</b:URL>
    <b:Author>
      <b:Author>
        <b:NameList>
          <b:Person>
            <b:Last>Chung</b:Last>
            <b:First>X.</b:First>
          </b:Person>
        </b:NameList>
      </b:Author>
    </b:Author>
    <b:RefOrder>2</b:RefOrder>
  </b:Source>
  <b:Source>
    <b:Tag>Bay11</b:Tag>
    <b:SourceType>JournalArticle</b:SourceType>
    <b:Guid>{D3F3B268-470C-4E62-958C-6E31AC2092F8}</b:Guid>
    <b:LCID>0</b:LCID>
    <b:Author>
      <b:Author>
        <b:NameList>
          <b:Person>
            <b:Last>Baylis</b:Last>
            <b:First>K.</b:First>
          </b:Person>
        </b:NameList>
      </b:Author>
    </b:Author>
    <b:Title>Fast-Food consumption and the ban on advertising targeting children: the Quebec experience</b:Title>
    <b:Year>2011</b:Year>
    <b:JournalName>Journal of Marketing Research</b:JournalName>
    <b:Pages>799-813</b:Pages>
    <b:RefOrder>4</b:RefOrder>
  </b:Source>
  <b:Source>
    <b:Tag>Tra19</b:Tag>
    <b:SourceType>InternetSite</b:SourceType>
    <b:Guid>{7ACDFFB8-183D-43E2-9928-F5ECDD258DC4}</b:Guid>
    <b:LCID>0</b:LCID>
    <b:Author>
      <b:Author>
        <b:NameList>
          <b:Person>
            <b:Last>TradeFairDates</b:Last>
          </b:Person>
        </b:NameList>
      </b:Author>
    </b:Author>
    <b:Title>The National Women's Show</b:Title>
    <b:Year>2019</b:Year>
    <b:InternetSiteTitle>TradeFairDates</b:InternetSiteTitle>
    <b:Month>July</b:Month>
    <b:Day>2</b:Day>
    <b:URL>https://www.tradefairdates.com/The-National-Womens-Show-M7165/Quebec-City.html</b:URL>
    <b:RefOrder>3</b:RefOrder>
  </b:Source>
</b:Sources>
</file>

<file path=customXml/itemProps1.xml><?xml version="1.0" encoding="utf-8"?>
<ds:datastoreItem xmlns:ds="http://schemas.openxmlformats.org/officeDocument/2006/customXml" ds:itemID="{A58800DD-F38B-4141-A4B1-535B86938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2019-07-08T00:12:00Z</dcterms:created>
  <dcterms:modified xsi:type="dcterms:W3CDTF">2019-07-08T00:12:00Z</dcterms:modified>
</cp:coreProperties>
</file>